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D" w:rsidRPr="002D6FFA" w:rsidRDefault="006E086D" w:rsidP="006E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86D" w:rsidRPr="002D6FFA" w:rsidRDefault="006E086D" w:rsidP="006E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86D" w:rsidRPr="0093419B" w:rsidRDefault="006E086D" w:rsidP="006E0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419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ЧАЛБЫШЕВСКОГО СЕЛЬСОВЕТА </w:t>
      </w:r>
    </w:p>
    <w:p w:rsidR="006E086D" w:rsidRPr="0093419B" w:rsidRDefault="006E086D" w:rsidP="006E0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419B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РАЙОНА </w:t>
      </w:r>
    </w:p>
    <w:p w:rsidR="006E086D" w:rsidRDefault="006E086D" w:rsidP="006E0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419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E086D" w:rsidRPr="00056277" w:rsidRDefault="006E086D" w:rsidP="006E0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6D" w:rsidRPr="0093419B" w:rsidRDefault="006E086D" w:rsidP="006E0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19B">
        <w:rPr>
          <w:rFonts w:ascii="Arial" w:hAnsi="Arial" w:cs="Arial"/>
          <w:b/>
          <w:sz w:val="24"/>
          <w:szCs w:val="24"/>
        </w:rPr>
        <w:t>ПОСТАНОВЛЕНИЕ</w:t>
      </w:r>
    </w:p>
    <w:p w:rsidR="006E086D" w:rsidRPr="00B21BD4" w:rsidRDefault="006E086D" w:rsidP="006E086D">
      <w:pPr>
        <w:tabs>
          <w:tab w:val="left" w:pos="284"/>
          <w:tab w:val="left" w:pos="42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21BD4">
        <w:rPr>
          <w:rFonts w:ascii="Arial" w:hAnsi="Arial" w:cs="Arial"/>
        </w:rPr>
        <w:t xml:space="preserve">1.10.2019г.                               </w:t>
      </w:r>
      <w:r>
        <w:rPr>
          <w:rFonts w:ascii="Arial" w:hAnsi="Arial" w:cs="Arial"/>
        </w:rPr>
        <w:t xml:space="preserve">   </w:t>
      </w:r>
      <w:r w:rsidRPr="00B21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B277E3">
        <w:rPr>
          <w:rFonts w:ascii="Arial" w:hAnsi="Arial" w:cs="Arial"/>
        </w:rPr>
        <w:t xml:space="preserve">   </w:t>
      </w:r>
      <w:r w:rsidRPr="00B21BD4">
        <w:rPr>
          <w:rFonts w:ascii="Arial" w:hAnsi="Arial" w:cs="Arial"/>
        </w:rPr>
        <w:t xml:space="preserve">с. </w:t>
      </w:r>
      <w:proofErr w:type="spellStart"/>
      <w:r w:rsidRPr="00B21BD4">
        <w:rPr>
          <w:rFonts w:ascii="Arial" w:hAnsi="Arial" w:cs="Arial"/>
        </w:rPr>
        <w:t>Чалбышево</w:t>
      </w:r>
      <w:proofErr w:type="spellEnd"/>
      <w:r w:rsidRPr="00B21BD4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</w:t>
      </w:r>
      <w:r w:rsidR="00B277E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№ 35</w:t>
      </w:r>
      <w:r w:rsidRPr="00B21BD4">
        <w:rPr>
          <w:rFonts w:ascii="Arial" w:hAnsi="Arial" w:cs="Arial"/>
        </w:rPr>
        <w:t>-п</w:t>
      </w:r>
    </w:p>
    <w:p w:rsidR="006E086D" w:rsidRPr="00B21BD4" w:rsidRDefault="006E086D" w:rsidP="006E086D">
      <w:pPr>
        <w:spacing w:after="0"/>
        <w:jc w:val="both"/>
        <w:rPr>
          <w:rFonts w:ascii="Arial" w:hAnsi="Arial" w:cs="Arial"/>
        </w:rPr>
      </w:pPr>
    </w:p>
    <w:p w:rsidR="006E086D" w:rsidRPr="002D6FFA" w:rsidRDefault="006E086D" w:rsidP="006E086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86D" w:rsidRPr="002D6FFA" w:rsidRDefault="006E086D" w:rsidP="006E086D">
      <w:pPr>
        <w:jc w:val="center"/>
        <w:rPr>
          <w:rFonts w:ascii="Times New Roman" w:hAnsi="Times New Roman" w:cs="Times New Roman"/>
          <w:sz w:val="27"/>
          <w:szCs w:val="27"/>
        </w:rPr>
      </w:pPr>
      <w:r w:rsidRPr="002D6FF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7"/>
          <w:szCs w:val="27"/>
        </w:rPr>
        <w:t xml:space="preserve">ОТ 28 ДЕКАБРЯ 2015 Г № 75-П </w:t>
      </w:r>
      <w:r w:rsidRPr="002D6FFA">
        <w:rPr>
          <w:rFonts w:ascii="Times New Roman" w:hAnsi="Times New Roman" w:cs="Times New Roman"/>
          <w:sz w:val="27"/>
          <w:szCs w:val="27"/>
        </w:rPr>
        <w:t xml:space="preserve">«ОБ УТВЕРЖДЕНИИ СХЕМЫ ВОДОСНАБЖЕНИЯ И ВОДООТВЕДЕНИЯ 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ЧАЛБЫШЕВСКОГО СЕЛЬСОВЕТА</w:t>
      </w:r>
      <w:r w:rsidRPr="002D6FFA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6E086D" w:rsidRPr="002D6FFA" w:rsidRDefault="006E086D" w:rsidP="006E08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86D" w:rsidRPr="002D6FFA" w:rsidRDefault="006E086D" w:rsidP="006E0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соблюдения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учета мнения и интерес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 жителей </w:t>
      </w:r>
      <w:proofErr w:type="spellStart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албышево</w:t>
      </w:r>
      <w:proofErr w:type="spellEnd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 проведении актуализации (корректировка) схем водоснабжения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Чалбышевского</w:t>
      </w:r>
      <w:proofErr w:type="spellEnd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Енисейского района Красноярского края на перспективу до 2025 года в соответствии с требованиями  Федерального закона от 07.12.2011 г. №416–ФЗ «О </w:t>
      </w:r>
      <w:proofErr w:type="gramStart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водоснабжении</w:t>
      </w:r>
      <w:proofErr w:type="gramEnd"/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водоотведении», постановления Правительства РФ от 05.09.2013 г. № 782 «О схемах водоснабжения и водоотведения» ПОСТАНОВЛЯЮ:</w:t>
      </w:r>
    </w:p>
    <w:p w:rsidR="006E086D" w:rsidRPr="002D6FFA" w:rsidRDefault="006E086D" w:rsidP="006E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FFA">
        <w:rPr>
          <w:rFonts w:ascii="Times New Roman" w:hAnsi="Times New Roman" w:cs="Times New Roman"/>
          <w:sz w:val="27"/>
          <w:szCs w:val="27"/>
        </w:rPr>
        <w:t xml:space="preserve">1. Утвердить прилагаемые изменения, которые вносятся в постановление </w:t>
      </w:r>
      <w:r>
        <w:rPr>
          <w:rFonts w:ascii="Times New Roman" w:hAnsi="Times New Roman" w:cs="Times New Roman"/>
          <w:sz w:val="27"/>
          <w:szCs w:val="27"/>
        </w:rPr>
        <w:t xml:space="preserve">от 28.12.2015 г. № 75-п </w:t>
      </w:r>
      <w:r w:rsidRPr="002D6FF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D6FFA">
        <w:rPr>
          <w:rFonts w:ascii="Times New Roman" w:hAnsi="Times New Roman" w:cs="Times New Roman"/>
          <w:sz w:val="27"/>
          <w:szCs w:val="27"/>
        </w:rPr>
        <w:t xml:space="preserve">б утверждении схемы водоснабжения и водоотведения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Чалбышевского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Е</w:t>
      </w:r>
      <w:r w:rsidRPr="002D6FFA">
        <w:rPr>
          <w:rFonts w:ascii="Times New Roman" w:hAnsi="Times New Roman" w:cs="Times New Roman"/>
          <w:sz w:val="27"/>
          <w:szCs w:val="27"/>
        </w:rPr>
        <w:t xml:space="preserve">нисейского района </w:t>
      </w:r>
      <w:r>
        <w:rPr>
          <w:rFonts w:ascii="Times New Roman" w:hAnsi="Times New Roman" w:cs="Times New Roman"/>
          <w:sz w:val="27"/>
          <w:szCs w:val="27"/>
        </w:rPr>
        <w:t>Красноярского края на перспективу до 2025 года».</w:t>
      </w:r>
    </w:p>
    <w:p w:rsidR="006E086D" w:rsidRPr="002D6FFA" w:rsidRDefault="006E086D" w:rsidP="006E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FFA">
        <w:rPr>
          <w:rFonts w:ascii="Times New Roman" w:hAnsi="Times New Roman" w:cs="Times New Roman"/>
          <w:sz w:val="27"/>
          <w:szCs w:val="27"/>
        </w:rPr>
        <w:t>2.</w:t>
      </w:r>
      <w:r w:rsidRPr="002D6FFA">
        <w:rPr>
          <w:rFonts w:ascii="Times New Roman" w:hAnsi="Times New Roman" w:cs="Times New Roman"/>
          <w:sz w:val="27"/>
          <w:szCs w:val="27"/>
        </w:rPr>
        <w:tab/>
        <w:t>Опубликовать  в информационном листе «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Чалбышевский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6FFA">
        <w:rPr>
          <w:rFonts w:ascii="Times New Roman" w:hAnsi="Times New Roman" w:cs="Times New Roman"/>
          <w:sz w:val="27"/>
          <w:szCs w:val="27"/>
        </w:rPr>
        <w:t xml:space="preserve">Вестник» и на официальном сайте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Чалбышевского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34438C">
        <w:rPr>
          <w:rFonts w:ascii="Times New Roman" w:hAnsi="Times New Roman" w:cs="Times New Roman"/>
          <w:sz w:val="27"/>
          <w:szCs w:val="27"/>
        </w:rPr>
        <w:t>http://чалбышево.рф/.</w:t>
      </w:r>
      <w:r w:rsidRPr="002D6FFA">
        <w:rPr>
          <w:rFonts w:ascii="Times New Roman" w:hAnsi="Times New Roman" w:cs="Times New Roman"/>
          <w:sz w:val="27"/>
          <w:szCs w:val="27"/>
        </w:rPr>
        <w:t>сведения о размещении утвержденной актуализированной схемы в</w:t>
      </w:r>
      <w:r>
        <w:rPr>
          <w:rFonts w:ascii="Times New Roman" w:hAnsi="Times New Roman" w:cs="Times New Roman"/>
          <w:sz w:val="27"/>
          <w:szCs w:val="27"/>
        </w:rPr>
        <w:t xml:space="preserve">одоснабжения и водоотведения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.Ч</w:t>
      </w:r>
      <w:proofErr w:type="gramEnd"/>
      <w:r>
        <w:rPr>
          <w:rFonts w:ascii="Times New Roman" w:hAnsi="Times New Roman" w:cs="Times New Roman"/>
          <w:sz w:val="27"/>
          <w:szCs w:val="27"/>
        </w:rPr>
        <w:t>албышево</w:t>
      </w:r>
      <w:proofErr w:type="spellEnd"/>
      <w:r w:rsidRPr="002D6FFA">
        <w:rPr>
          <w:rFonts w:ascii="Times New Roman" w:hAnsi="Times New Roman" w:cs="Times New Roman"/>
          <w:sz w:val="27"/>
          <w:szCs w:val="27"/>
        </w:rPr>
        <w:t xml:space="preserve"> Енисейского района на 2020 год.</w:t>
      </w:r>
    </w:p>
    <w:p w:rsidR="006E086D" w:rsidRPr="002D6FFA" w:rsidRDefault="006E086D" w:rsidP="006E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FFA">
        <w:rPr>
          <w:rFonts w:ascii="Times New Roman" w:hAnsi="Times New Roman" w:cs="Times New Roman"/>
          <w:sz w:val="27"/>
          <w:szCs w:val="27"/>
        </w:rPr>
        <w:t>3.</w:t>
      </w:r>
      <w:r w:rsidRPr="002D6FFA">
        <w:rPr>
          <w:rFonts w:ascii="Times New Roman" w:hAnsi="Times New Roman" w:cs="Times New Roman"/>
          <w:sz w:val="27"/>
          <w:szCs w:val="27"/>
        </w:rPr>
        <w:tab/>
        <w:t>Постановление вступает в силу со дня его официального опубликования.</w:t>
      </w:r>
    </w:p>
    <w:p w:rsidR="006E086D" w:rsidRPr="002D6FFA" w:rsidRDefault="006E086D" w:rsidP="006E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6FFA">
        <w:rPr>
          <w:rFonts w:ascii="Times New Roman" w:hAnsi="Times New Roman" w:cs="Times New Roman"/>
          <w:sz w:val="27"/>
          <w:szCs w:val="27"/>
        </w:rPr>
        <w:t>4.</w:t>
      </w:r>
      <w:r w:rsidRPr="002D6FFA">
        <w:rPr>
          <w:rFonts w:ascii="Times New Roman" w:hAnsi="Times New Roman" w:cs="Times New Roman"/>
          <w:sz w:val="27"/>
          <w:szCs w:val="27"/>
        </w:rPr>
        <w:tab/>
        <w:t xml:space="preserve">Контроль исполнения настоящего постановления оставляю за собой. </w:t>
      </w:r>
    </w:p>
    <w:p w:rsidR="006E086D" w:rsidRDefault="006E086D" w:rsidP="006E086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086D" w:rsidRDefault="006E086D" w:rsidP="006E086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086D" w:rsidRDefault="006E086D" w:rsidP="006E086D"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Чалбышевского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                                                  А.В.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Бродников</w:t>
      </w:r>
      <w:proofErr w:type="spellEnd"/>
    </w:p>
    <w:p w:rsidR="0046193D" w:rsidRDefault="0046193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6E086D" w:rsidRPr="00ED2404" w:rsidRDefault="006E086D" w:rsidP="00F33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46193D" w:rsidRPr="00ED2404" w:rsidRDefault="0046193D" w:rsidP="004619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lastRenderedPageBreak/>
        <w:t>Утверждены</w:t>
      </w:r>
    </w:p>
    <w:p w:rsidR="008931E2" w:rsidRPr="00ED2404" w:rsidRDefault="0046193D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постановлением </w:t>
      </w:r>
      <w:r w:rsidR="008931E2" w:rsidRPr="00ED2404">
        <w:rPr>
          <w:rFonts w:ascii="Times New Roman" w:hAnsi="Times New Roman" w:cs="Times New Roman"/>
          <w:sz w:val="24"/>
          <w:szCs w:val="20"/>
        </w:rPr>
        <w:t xml:space="preserve">администрации </w:t>
      </w:r>
    </w:p>
    <w:p w:rsidR="008931E2" w:rsidRPr="00ED2404" w:rsidRDefault="001E40BB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Чалбышевского</w:t>
      </w:r>
      <w:proofErr w:type="spellEnd"/>
      <w:r w:rsidR="008931E2" w:rsidRPr="00ED2404">
        <w:rPr>
          <w:rFonts w:ascii="Times New Roman" w:hAnsi="Times New Roman" w:cs="Times New Roman"/>
          <w:sz w:val="24"/>
          <w:szCs w:val="20"/>
        </w:rPr>
        <w:t xml:space="preserve"> сельсовета</w:t>
      </w:r>
    </w:p>
    <w:p w:rsidR="0046193D" w:rsidRPr="00ED2404" w:rsidRDefault="008931E2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 Енисейского района</w:t>
      </w:r>
    </w:p>
    <w:p w:rsidR="0046193D" w:rsidRPr="004D632F" w:rsidRDefault="0046193D" w:rsidP="00461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D632F">
        <w:rPr>
          <w:rFonts w:ascii="Times New Roman" w:hAnsi="Times New Roman" w:cs="Times New Roman"/>
          <w:sz w:val="24"/>
          <w:szCs w:val="20"/>
        </w:rPr>
        <w:t xml:space="preserve">от </w:t>
      </w:r>
      <w:r w:rsidR="004068AE" w:rsidRPr="004D632F">
        <w:rPr>
          <w:rFonts w:ascii="Times New Roman" w:hAnsi="Times New Roman" w:cs="Times New Roman"/>
          <w:sz w:val="24"/>
          <w:szCs w:val="20"/>
        </w:rPr>
        <w:t>11.10.</w:t>
      </w:r>
      <w:r w:rsidRPr="004D632F">
        <w:rPr>
          <w:rFonts w:ascii="Times New Roman" w:hAnsi="Times New Roman" w:cs="Times New Roman"/>
          <w:sz w:val="24"/>
          <w:szCs w:val="20"/>
        </w:rPr>
        <w:t xml:space="preserve"> 201</w:t>
      </w:r>
      <w:r w:rsidR="008931E2" w:rsidRPr="004D632F">
        <w:rPr>
          <w:rFonts w:ascii="Times New Roman" w:hAnsi="Times New Roman" w:cs="Times New Roman"/>
          <w:sz w:val="24"/>
          <w:szCs w:val="20"/>
        </w:rPr>
        <w:t>9</w:t>
      </w:r>
      <w:r w:rsidRPr="004D632F">
        <w:rPr>
          <w:rFonts w:ascii="Times New Roman" w:hAnsi="Times New Roman" w:cs="Times New Roman"/>
          <w:sz w:val="24"/>
          <w:szCs w:val="20"/>
        </w:rPr>
        <w:t xml:space="preserve"> г. N </w:t>
      </w:r>
      <w:r w:rsidR="004068AE" w:rsidRPr="004D632F">
        <w:rPr>
          <w:rFonts w:ascii="Times New Roman" w:hAnsi="Times New Roman" w:cs="Times New Roman"/>
          <w:sz w:val="24"/>
          <w:szCs w:val="20"/>
        </w:rPr>
        <w:t>35</w:t>
      </w:r>
      <w:r w:rsidR="004D632F">
        <w:rPr>
          <w:rFonts w:ascii="Times New Roman" w:hAnsi="Times New Roman" w:cs="Times New Roman"/>
          <w:sz w:val="24"/>
          <w:szCs w:val="20"/>
        </w:rPr>
        <w:t>-п</w:t>
      </w:r>
    </w:p>
    <w:p w:rsidR="00F3380A" w:rsidRPr="00ED2404" w:rsidRDefault="00F3380A" w:rsidP="00F3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8931E2" w:rsidRDefault="008931E2" w:rsidP="00461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942670" w:rsidRPr="00ED2404" w:rsidRDefault="00942670" w:rsidP="00461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8931E2" w:rsidRPr="00ED2404" w:rsidRDefault="008931E2" w:rsidP="00461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46193D" w:rsidRPr="006A3151" w:rsidRDefault="00004A27" w:rsidP="0000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ИЗМЕНЕНИЯ,</w:t>
      </w:r>
    </w:p>
    <w:p w:rsidR="0046193D" w:rsidRDefault="00004A27" w:rsidP="0000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 xml:space="preserve">КОТОРЫЕ ВНОСЯТСЯ В ПОСТАНОВЛЕНИЕ </w:t>
      </w:r>
      <w:r w:rsidR="009F51DF">
        <w:rPr>
          <w:rFonts w:ascii="Times New Roman" w:hAnsi="Times New Roman" w:cs="Times New Roman"/>
          <w:b/>
          <w:sz w:val="24"/>
          <w:szCs w:val="20"/>
        </w:rPr>
        <w:t xml:space="preserve">ОТ 28 ДЕКАБРЯ 2015 Г № </w:t>
      </w:r>
      <w:r w:rsidR="001E40BB">
        <w:rPr>
          <w:rFonts w:ascii="Times New Roman" w:hAnsi="Times New Roman" w:cs="Times New Roman"/>
          <w:b/>
          <w:sz w:val="24"/>
          <w:szCs w:val="20"/>
        </w:rPr>
        <w:t>75-П</w:t>
      </w:r>
      <w:proofErr w:type="gramStart"/>
      <w:r w:rsidRPr="006A3151">
        <w:rPr>
          <w:rFonts w:ascii="Times New Roman" w:hAnsi="Times New Roman" w:cs="Times New Roman"/>
          <w:b/>
          <w:sz w:val="24"/>
          <w:szCs w:val="20"/>
        </w:rPr>
        <w:t>«О</w:t>
      </w:r>
      <w:proofErr w:type="gramEnd"/>
      <w:r w:rsidRPr="006A3151">
        <w:rPr>
          <w:rFonts w:ascii="Times New Roman" w:hAnsi="Times New Roman" w:cs="Times New Roman"/>
          <w:b/>
          <w:sz w:val="24"/>
          <w:szCs w:val="20"/>
        </w:rPr>
        <w:t xml:space="preserve">Б УТВЕРЖДЕНИИ СХЕМЫ ВОДОСНАБЖЕНИЯ И ВОДООТВЕДЕНИЯ </w:t>
      </w:r>
      <w:r w:rsidR="001E40BB">
        <w:rPr>
          <w:rFonts w:ascii="Times New Roman" w:hAnsi="Times New Roman" w:cs="Times New Roman"/>
          <w:b/>
          <w:sz w:val="24"/>
          <w:szCs w:val="20"/>
        </w:rPr>
        <w:t>ЧАЛБЫШЕВСКОГО СЕЛЬСОВЕТА</w:t>
      </w:r>
      <w:r w:rsidR="00F4155F">
        <w:rPr>
          <w:rFonts w:ascii="Times New Roman" w:hAnsi="Times New Roman" w:cs="Times New Roman"/>
          <w:b/>
          <w:sz w:val="24"/>
          <w:szCs w:val="20"/>
        </w:rPr>
        <w:t>»</w:t>
      </w:r>
    </w:p>
    <w:p w:rsidR="00776AB1" w:rsidRPr="006A3151" w:rsidRDefault="00776AB1" w:rsidP="00D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43E62" w:rsidRDefault="00D43E62" w:rsidP="00D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F4" w:rsidRDefault="00D43E62" w:rsidP="00034A8C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1.1.1. Описание системы и структуры водоснабжения поселения и деление территории поселения на эксплуатационные зоны, пункта 1.1. </w:t>
      </w:r>
      <w:proofErr w:type="spellStart"/>
      <w:r w:rsidRPr="00D43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</w:t>
      </w:r>
      <w:proofErr w:type="spellEnd"/>
      <w:r w:rsidRPr="00D43E62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–экономическое состояние централизованных систем водоснабжения поселения Раздела 1. Водоснабжение внести следующие изменения:</w:t>
      </w:r>
    </w:p>
    <w:p w:rsidR="00034A8C" w:rsidRDefault="00034A8C" w:rsidP="00B64F5D">
      <w:pPr>
        <w:pStyle w:val="a3"/>
        <w:numPr>
          <w:ilvl w:val="1"/>
          <w:numId w:val="3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пятом аб</w:t>
      </w:r>
      <w:r w:rsidR="00B64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слова «Численность населения по данным на 2015 год составляет 317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по данны</w:t>
      </w:r>
      <w:r w:rsidR="00DA05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составляет 311 чело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век».</w:t>
      </w:r>
    </w:p>
    <w:p w:rsidR="00DA01F4" w:rsidRPr="009023E6" w:rsidRDefault="00034A8C" w:rsidP="00B64F5D">
      <w:pPr>
        <w:pStyle w:val="a3"/>
        <w:numPr>
          <w:ilvl w:val="1"/>
          <w:numId w:val="3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абзаце слова «На территории  поселка располагается 1 водозаборная скважина (по ул. Рождественского, 1а) и 1 водонапорная башня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W=25 м3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слова «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поселка располагается 1 водозаборная скважина (по ул. Рождественского, 79), 1 водонапорная башня W=25 м</w:t>
      </w:r>
      <w:r w:rsidRPr="009023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</w:t>
      </w:r>
      <w:proofErr w:type="spellStart"/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озоно-фильтровальная</w:t>
      </w:r>
      <w:proofErr w:type="spellEnd"/>
      <w:r w:rsidRP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очистки во</w:t>
      </w:r>
      <w:r w:rsid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 (по ул. Рождественского, 79)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2E97" w:rsidRPr="00802E97" w:rsidRDefault="00802E97" w:rsidP="0080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62" w:rsidRDefault="0022267B" w:rsidP="009023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1.1.4 описание результатов технического обследования централизованных систем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</w:t>
      </w:r>
      <w:r w:rsidR="00D43E62" w:rsidRPr="00D4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состояние централизованных систем водоснабжения поселения Раздела</w:t>
      </w:r>
      <w:r w:rsidR="00D43E62" w:rsidRPr="00D4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Водоснабжение,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9023E6" w:rsidRDefault="009023E6" w:rsidP="001734D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   В третьем абзаце слова «</w:t>
      </w:r>
      <w:r w:rsidRP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трубопроводов диаметром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до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из металла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протяженностью 3,0 км»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02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трубопроводов диаметром от 20 мм до 100 мм из металла и пластика</w:t>
      </w:r>
      <w:r w:rsidR="00B64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протяженностью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 км».</w:t>
      </w:r>
    </w:p>
    <w:p w:rsidR="009023E6" w:rsidRDefault="009023E6" w:rsidP="001734D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шестом абзаце</w:t>
      </w:r>
      <w:r w:rsidR="00B6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«Материал труб водопровода - сталь, чугун, пластик» заменить на слова  «Материал труб водопровода – металл, пластик».</w:t>
      </w:r>
      <w:proofErr w:type="gramEnd"/>
    </w:p>
    <w:p w:rsidR="005D486E" w:rsidRDefault="00DA05D1" w:rsidP="005D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D486E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333E4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</w:t>
      </w:r>
      <w:r w:rsidR="005D486E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естнадцат</w:t>
      </w:r>
      <w:r w:rsidR="005333E4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D486E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абзац</w:t>
      </w:r>
      <w:r w:rsidR="005333E4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61B13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«Высокая степень износа водонапорной башни (55%)» </w:t>
      </w:r>
      <w:proofErr w:type="gramStart"/>
      <w:r w:rsidR="00761B13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заменить на слова</w:t>
      </w:r>
      <w:proofErr w:type="gramEnd"/>
      <w:r w:rsidR="00761B13" w:rsidRPr="00DA0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«Средняя степень износа водонапорной башни (35%)»</w:t>
      </w:r>
    </w:p>
    <w:p w:rsidR="00994720" w:rsidRDefault="00994720" w:rsidP="00706E4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A05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Двадцать второй абзац заменить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0E3" w:rsidRDefault="009D6D84" w:rsidP="00706E4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proofErr w:type="gramEnd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обследования системы водоснабжения ООО «</w:t>
      </w:r>
      <w:proofErr w:type="spellStart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Енисейэнергоком</w:t>
      </w:r>
      <w:proofErr w:type="spellEnd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Чалбышевский</w:t>
      </w:r>
      <w:proofErr w:type="spellEnd"/>
      <w:r w:rsidR="0040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техническое состояние объектов (системы):</w:t>
      </w:r>
    </w:p>
    <w:p w:rsidR="00317327" w:rsidRDefault="004010E3" w:rsidP="00317327">
      <w:pPr>
        <w:pStyle w:val="a3"/>
        <w:numPr>
          <w:ilvl w:val="0"/>
          <w:numId w:val="8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Водозаборная скважина – </w:t>
      </w:r>
      <w:proofErr w:type="spellStart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ГруппаА</w:t>
      </w:r>
      <w:proofErr w:type="spellEnd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437-пр приказа </w:t>
      </w:r>
      <w:proofErr w:type="spellStart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минстроя</w:t>
      </w:r>
      <w:proofErr w:type="spellEnd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327" w:rsidRDefault="00317327" w:rsidP="00317327">
      <w:pPr>
        <w:pStyle w:val="a3"/>
        <w:numPr>
          <w:ilvl w:val="0"/>
          <w:numId w:val="8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Водонапорная башня – </w:t>
      </w:r>
      <w:proofErr w:type="spellStart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ГруппаВ</w:t>
      </w:r>
      <w:proofErr w:type="spellEnd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437-пр приказа </w:t>
      </w:r>
      <w:proofErr w:type="spellStart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минстроя</w:t>
      </w:r>
      <w:proofErr w:type="spellEnd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327" w:rsidRPr="00317327" w:rsidRDefault="00317327" w:rsidP="00317327">
      <w:pPr>
        <w:pStyle w:val="a3"/>
        <w:numPr>
          <w:ilvl w:val="0"/>
          <w:numId w:val="8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Водопроводные сети (</w:t>
      </w:r>
      <w:r w:rsidRPr="00317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3772 м) – Группа Г согласно 437-пр приказа </w:t>
      </w:r>
      <w:proofErr w:type="spellStart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минстроя</w:t>
      </w:r>
      <w:proofErr w:type="spellEnd"/>
      <w:r w:rsidRPr="00317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D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7327" w:rsidRPr="00317327" w:rsidRDefault="00317327" w:rsidP="0046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1B" w:rsidRDefault="00D43E62" w:rsidP="0046061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</w:t>
      </w:r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proofErr w:type="spellStart"/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proofErr w:type="gramStart"/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proofErr w:type="spellEnd"/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1.2.Направления развития центра</w:t>
      </w:r>
      <w:r w:rsidR="00034A8C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лизованных систем водоснабжения</w:t>
      </w:r>
      <w:r w:rsidR="00A27C50"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46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Водоснабжение, изложить в новой редакции:</w:t>
      </w:r>
    </w:p>
    <w:p w:rsidR="0046061B" w:rsidRDefault="0046061B" w:rsidP="0046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1B" w:rsidRPr="00A775B4" w:rsidRDefault="0046061B" w:rsidP="00A7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1.2.2. различные сценарии развития централизованных систем водоснабжения в зависимости от различных сценариев развития поселений.</w:t>
      </w:r>
    </w:p>
    <w:p w:rsidR="00A775B4" w:rsidRPr="00A775B4" w:rsidRDefault="00A775B4" w:rsidP="006F3624">
      <w:pPr>
        <w:pStyle w:val="e"/>
        <w:jc w:val="both"/>
      </w:pPr>
      <w:r w:rsidRPr="00A775B4">
        <w:lastRenderedPageBreak/>
        <w:t xml:space="preserve">Сценарий развития предполагает развитие системы водоснабжения в различных районах сельсовета, а также переселение жителей из ветхого, аварийного, жилья </w:t>
      </w:r>
      <w:proofErr w:type="gramStart"/>
      <w:r w:rsidRPr="00A775B4">
        <w:t>в</w:t>
      </w:r>
      <w:proofErr w:type="gramEnd"/>
      <w:r w:rsidRPr="00A775B4">
        <w:t xml:space="preserve"> благоустроенное. Требуется строительство новых водопроводных сетей для подключения существующих объектов и новых абонентов.</w:t>
      </w:r>
    </w:p>
    <w:p w:rsidR="00A775B4" w:rsidRPr="00A775B4" w:rsidRDefault="00A775B4" w:rsidP="006F3624">
      <w:pPr>
        <w:pStyle w:val="e"/>
        <w:jc w:val="both"/>
      </w:pPr>
      <w:r w:rsidRPr="00A775B4">
        <w:t>Развитие централизованных систем водоснабжения заключается в поэтапной реконструкции и строительстве новых магистральных, квартальных водопроводных кольцевых сетей, которые обеспечат водой питьевого качества все население, объекты соц</w:t>
      </w:r>
      <w:proofErr w:type="gramStart"/>
      <w:r w:rsidRPr="00A775B4">
        <w:t>.к</w:t>
      </w:r>
      <w:proofErr w:type="gramEnd"/>
      <w:r w:rsidRPr="00A775B4">
        <w:t xml:space="preserve">ульт. быта и предприятия МО </w:t>
      </w:r>
      <w:proofErr w:type="spellStart"/>
      <w:r w:rsidRPr="00A775B4">
        <w:t>Чалбышевский</w:t>
      </w:r>
      <w:proofErr w:type="spellEnd"/>
      <w:r w:rsidRPr="00A775B4">
        <w:t xml:space="preserve"> сельсовет с. </w:t>
      </w:r>
      <w:proofErr w:type="spellStart"/>
      <w:r w:rsidRPr="00A775B4">
        <w:t>Чалбышево</w:t>
      </w:r>
      <w:proofErr w:type="spellEnd"/>
      <w:r w:rsidRPr="00A775B4">
        <w:t>.</w:t>
      </w:r>
    </w:p>
    <w:p w:rsidR="00A775B4" w:rsidRPr="00A775B4" w:rsidRDefault="00A775B4" w:rsidP="006F3624">
      <w:pPr>
        <w:pStyle w:val="e"/>
        <w:jc w:val="both"/>
      </w:pPr>
      <w:r w:rsidRPr="00A775B4">
        <w:t>Развитие системы водоснабжения по выбранному направлению обеспечит в полном объеме всех потребителей качественной водой.</w:t>
      </w:r>
    </w:p>
    <w:p w:rsidR="00A775B4" w:rsidRPr="00A775B4" w:rsidRDefault="00A775B4" w:rsidP="006F3624">
      <w:pPr>
        <w:pStyle w:val="e"/>
        <w:jc w:val="both"/>
      </w:pPr>
      <w:r w:rsidRPr="00A775B4">
        <w:t>Основные мероприятия схемы:</w:t>
      </w:r>
    </w:p>
    <w:p w:rsidR="00A775B4" w:rsidRPr="00DA05D1" w:rsidRDefault="00A775B4" w:rsidP="006F3624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5B4">
        <w:rPr>
          <w:rFonts w:ascii="Times New Roman" w:hAnsi="Times New Roman" w:cs="Times New Roman"/>
          <w:sz w:val="24"/>
          <w:szCs w:val="24"/>
        </w:rPr>
        <w:t xml:space="preserve">Капитальный ремонт скважины с заменой </w:t>
      </w:r>
      <w:r w:rsidRPr="00DA05D1">
        <w:rPr>
          <w:rFonts w:ascii="Times New Roman" w:hAnsi="Times New Roman" w:cs="Times New Roman"/>
          <w:color w:val="000000" w:themeColor="text1"/>
          <w:sz w:val="24"/>
          <w:szCs w:val="24"/>
        </w:rPr>
        <w:t>насосного оборудования – 2015-2025гг.</w:t>
      </w:r>
    </w:p>
    <w:p w:rsidR="00A775B4" w:rsidRPr="00DA05D1" w:rsidRDefault="00A775B4" w:rsidP="006F3624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5D1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дополнительных водозаборных скважин– 2015-2025гг</w:t>
      </w:r>
    </w:p>
    <w:p w:rsidR="00A775B4" w:rsidRPr="00DA05D1" w:rsidRDefault="00A775B4" w:rsidP="006F3624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5D1">
        <w:rPr>
          <w:rFonts w:ascii="Times New Roman" w:hAnsi="Times New Roman" w:cs="Times New Roman"/>
          <w:color w:val="000000" w:themeColor="text1"/>
          <w:sz w:val="24"/>
          <w:szCs w:val="24"/>
        </w:rPr>
        <w:t>Сети водоснабжения, реконструкция – 2015-2025 гг.</w:t>
      </w:r>
    </w:p>
    <w:p w:rsidR="00A775B4" w:rsidRPr="00DA05D1" w:rsidRDefault="00A775B4" w:rsidP="006F3624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5D1">
        <w:rPr>
          <w:rFonts w:ascii="Times New Roman" w:hAnsi="Times New Roman" w:cs="Times New Roman"/>
          <w:color w:val="000000" w:themeColor="text1"/>
          <w:sz w:val="24"/>
          <w:szCs w:val="24"/>
        </w:rPr>
        <w:t>Сети водоснабжения, строительство – 2019-2024 гг.</w:t>
      </w:r>
    </w:p>
    <w:p w:rsidR="00A775B4" w:rsidRPr="00DA05D1" w:rsidRDefault="00A775B4" w:rsidP="006F3624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5D1">
        <w:rPr>
          <w:rFonts w:ascii="Times New Roman" w:hAnsi="Times New Roman" w:cs="Times New Roman"/>
          <w:color w:val="000000" w:themeColor="text1"/>
          <w:sz w:val="24"/>
          <w:szCs w:val="24"/>
        </w:rPr>
        <w:t>Проект зон санитарной охраны водозаборных сооружений – 2015-2016гг</w:t>
      </w:r>
    </w:p>
    <w:p w:rsidR="006F3624" w:rsidRPr="006F3624" w:rsidRDefault="006F3624" w:rsidP="006F362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169" w:rsidRPr="000F1169" w:rsidRDefault="00C20BA3" w:rsidP="000F1169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6F3624" w:rsidRPr="006F3624">
        <w:rPr>
          <w:rFonts w:ascii="Times New Roman" w:hAnsi="Times New Roman" w:cs="Times New Roman"/>
          <w:sz w:val="24"/>
          <w:szCs w:val="24"/>
        </w:rPr>
        <w:t>одпункт 1.3.1. общий баланс подачи и реализации воды, включая анализ и оценку структурных составляющих потерь питьевой, технической воды при ее</w:t>
      </w:r>
      <w:r w:rsidR="006F3624">
        <w:rPr>
          <w:rFonts w:ascii="Times New Roman" w:hAnsi="Times New Roman" w:cs="Times New Roman"/>
          <w:sz w:val="24"/>
          <w:szCs w:val="24"/>
        </w:rPr>
        <w:t xml:space="preserve"> производстве и транспортировке, пункта 1.3. Баланс водоснабжения и потребления питьевой и технической воды Главы 1. Водоснабжение, внести следующие изменения:</w:t>
      </w:r>
    </w:p>
    <w:p w:rsidR="0046061B" w:rsidRDefault="000F1169" w:rsidP="000F116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4.1.  </w:t>
      </w:r>
      <w:r w:rsidR="006F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абзаце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Чалбышево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317 чел.»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761B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-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Чалбышево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311 чел.»</w:t>
      </w:r>
    </w:p>
    <w:p w:rsidR="00942670" w:rsidRDefault="00942670" w:rsidP="000F116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69" w:rsidRDefault="006C64B1" w:rsidP="00942670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D5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1.4.1.1 п</w:t>
      </w:r>
      <w:r w:rsidR="00942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1.4.1. перечень основных мероприятий по реализации схем водоснабжения с разбивкой по годам, пункта 1.4. Предложения по строительству, реконструкции и модернизации объектов централизованных систем водоснабжения Главы 1</w:t>
      </w:r>
      <w:r w:rsidR="00A35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Водоснабжение </w:t>
      </w:r>
      <w:r w:rsidR="00D57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D5770F" w:rsidRDefault="00D5770F" w:rsidP="00D5770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0F" w:rsidRPr="00761B13" w:rsidRDefault="006C64B1" w:rsidP="00D57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Разбивка по годам мероприятий по реализации схемы водоснабжения указана в таблице № 1.4.1.1</w:t>
      </w:r>
    </w:p>
    <w:p w:rsidR="006C64B1" w:rsidRPr="006C64B1" w:rsidRDefault="006C64B1" w:rsidP="006C64B1">
      <w:pPr>
        <w:keepLine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C64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Таблица№</w:t>
      </w:r>
      <w:proofErr w:type="spellEnd"/>
      <w:r w:rsidRPr="006C64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1.4.1.1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647"/>
        <w:gridCol w:w="6151"/>
        <w:gridCol w:w="1354"/>
        <w:gridCol w:w="1900"/>
      </w:tblGrid>
      <w:tr w:rsidR="006C64B1" w:rsidRPr="006C64B1" w:rsidTr="006C64B1">
        <w:trPr>
          <w:trHeight w:val="397"/>
          <w:tblHeader/>
          <w:jc w:val="center"/>
        </w:trPr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10052" w:type="dxa"/>
            <w:gridSpan w:val="4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Водопроводные сети и сооружения МО </w:t>
            </w:r>
            <w:proofErr w:type="spellStart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сельсовет с. </w:t>
            </w:r>
            <w:proofErr w:type="spellStart"/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Чалбышево</w:t>
            </w:r>
            <w:proofErr w:type="spellEnd"/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существующих скважин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00" w:type="dxa"/>
            <w:vAlign w:val="center"/>
          </w:tcPr>
          <w:p w:rsidR="006C64B1" w:rsidRPr="006C64B1" w:rsidRDefault="006C64B1" w:rsidP="00D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 w:rsidR="00D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насосного оборудования водозаборных скважин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vAlign w:val="center"/>
          </w:tcPr>
          <w:p w:rsidR="006C64B1" w:rsidRPr="006C64B1" w:rsidRDefault="006C64B1" w:rsidP="005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скважин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2015-2017 </w:t>
            </w: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2017-2020 </w:t>
            </w: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водозаборных скважин 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2016 -20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gramStart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водонапорных</w:t>
            </w:r>
            <w:proofErr w:type="gramEnd"/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башен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=25,0 м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900" w:type="dxa"/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Ø110мм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1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водопроводных сетей из 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полиэтиленовых труб по ГОСТ 18599-2001, средняя глубина заложения 3,0 м, Ø50мм</w:t>
            </w:r>
          </w:p>
        </w:tc>
        <w:tc>
          <w:tcPr>
            <w:tcW w:w="1354" w:type="dxa"/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 м</w:t>
            </w:r>
          </w:p>
        </w:tc>
        <w:tc>
          <w:tcPr>
            <w:tcW w:w="1900" w:type="dxa"/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6C64B1" w:rsidRPr="006C64B1" w:rsidTr="006C64B1">
        <w:trPr>
          <w:trHeight w:val="397"/>
          <w:jc w:val="center"/>
        </w:trPr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51" w:type="dxa"/>
            <w:tcBorders>
              <w:bottom w:val="single" w:sz="12" w:space="0" w:color="auto"/>
            </w:tcBorders>
          </w:tcPr>
          <w:p w:rsidR="006C64B1" w:rsidRPr="006C64B1" w:rsidRDefault="006C64B1" w:rsidP="006C64B1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трубопровода Ø57-110мм  на полиэтиленовые трубы по ГОСТ 18599-2001, средняя глубина заложения 3,0 м, Ø15-108мм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6C64B1" w:rsidRPr="006C64B1" w:rsidRDefault="006C64B1" w:rsidP="006C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6C64B1" w:rsidRPr="006C64B1" w:rsidRDefault="006C64B1" w:rsidP="0063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 w:rsidR="0063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</w:tbl>
    <w:p w:rsidR="006C64B1" w:rsidRDefault="006C64B1" w:rsidP="006C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A3" w:rsidRPr="00C20BA3" w:rsidRDefault="006313C1" w:rsidP="00C2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D5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1.6.2. </w:t>
      </w:r>
      <w:r w:rsidR="00C20BA3" w:rsidRP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</w:t>
      </w:r>
      <w:proofErr w:type="gramEnd"/>
      <w:r w:rsidR="00C20BA3" w:rsidRP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финансирования</w:t>
      </w:r>
      <w:r w:rsid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пункта</w:t>
      </w:r>
      <w:proofErr w:type="gramStart"/>
      <w:r w:rsidR="00C20BA3" w:rsidRP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20BA3" w:rsidRP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C20BA3" w:rsidRP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r w:rsidR="00C2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1 Водоснабжение, изложить в новой редакции:</w:t>
      </w:r>
    </w:p>
    <w:p w:rsidR="00C20BA3" w:rsidRPr="00C20BA3" w:rsidRDefault="00C20BA3" w:rsidP="00C2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2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1.6.2.</w:t>
      </w:r>
      <w:r w:rsidRPr="00C2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  <w:proofErr w:type="gramEnd"/>
    </w:p>
    <w:p w:rsidR="00C20BA3" w:rsidRPr="00C20BA3" w:rsidRDefault="00C20BA3" w:rsidP="00C2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расчетов (сводная ведомость стоимости работ) приведены в таблице 1.6.2.1.</w:t>
      </w:r>
    </w:p>
    <w:p w:rsidR="00C20BA3" w:rsidRDefault="00C20BA3" w:rsidP="00C20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20BA3" w:rsidSect="007903B3">
          <w:pgSz w:w="11906" w:h="16838"/>
          <w:pgMar w:top="743" w:right="675" w:bottom="856" w:left="1134" w:header="709" w:footer="709" w:gutter="0"/>
          <w:cols w:space="708"/>
          <w:titlePg/>
          <w:docGrid w:linePitch="360"/>
        </w:sectPr>
      </w:pPr>
    </w:p>
    <w:p w:rsidR="00C20BA3" w:rsidRDefault="00C20BA3" w:rsidP="00C20BA3">
      <w:pPr>
        <w:jc w:val="right"/>
      </w:pPr>
      <w:r>
        <w:rPr>
          <w:rFonts w:ascii="Times New Roman" w:hAnsi="Times New Roman"/>
          <w:b/>
          <w:i/>
          <w:sz w:val="24"/>
        </w:rPr>
        <w:lastRenderedPageBreak/>
        <w:t>Таблица №1.6.2.1.</w:t>
      </w:r>
    </w:p>
    <w:tbl>
      <w:tblPr>
        <w:tblW w:w="1541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892"/>
        <w:gridCol w:w="2780"/>
        <w:gridCol w:w="1564"/>
        <w:gridCol w:w="840"/>
        <w:gridCol w:w="1116"/>
        <w:gridCol w:w="913"/>
        <w:gridCol w:w="913"/>
        <w:gridCol w:w="913"/>
        <w:gridCol w:w="918"/>
        <w:gridCol w:w="918"/>
        <w:gridCol w:w="913"/>
        <w:gridCol w:w="913"/>
        <w:gridCol w:w="913"/>
        <w:gridCol w:w="913"/>
      </w:tblGrid>
      <w:tr w:rsidR="00C20BA3" w:rsidRPr="00F95539" w:rsidTr="00B570B9">
        <w:trPr>
          <w:cantSplit/>
          <w:trHeight w:val="20"/>
          <w:tblHeader/>
        </w:trPr>
        <w:tc>
          <w:tcPr>
            <w:tcW w:w="907" w:type="dxa"/>
            <w:vMerge w:val="restart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</w:t>
            </w:r>
            <w:proofErr w:type="spellEnd"/>
            <w:proofErr w:type="gramEnd"/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/</w:t>
            </w:r>
            <w:proofErr w:type="spellStart"/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Стоимость, тыс. руб.</w:t>
            </w:r>
          </w:p>
        </w:tc>
        <w:tc>
          <w:tcPr>
            <w:tcW w:w="10154" w:type="dxa"/>
            <w:gridSpan w:val="11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Прогнозируемый объём финансирования по годам</w:t>
            </w:r>
          </w:p>
        </w:tc>
      </w:tr>
      <w:tr w:rsidR="00C20BA3" w:rsidRPr="00F95539" w:rsidTr="002E4910">
        <w:trPr>
          <w:trHeight w:val="20"/>
          <w:tblHeader/>
        </w:trPr>
        <w:tc>
          <w:tcPr>
            <w:tcW w:w="907" w:type="dxa"/>
            <w:vMerge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794" w:type="dxa"/>
            <w:vMerge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2015</w:t>
            </w:r>
          </w:p>
        </w:tc>
        <w:tc>
          <w:tcPr>
            <w:tcW w:w="1010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2016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2017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2018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2019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2020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2021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2022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2023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2024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2025</w:t>
            </w:r>
          </w:p>
        </w:tc>
      </w:tr>
      <w:tr w:rsidR="00C20BA3" w:rsidRPr="00F95539" w:rsidTr="002E4910">
        <w:trPr>
          <w:cantSplit/>
          <w:trHeight w:val="20"/>
          <w:tblHeader/>
        </w:trPr>
        <w:tc>
          <w:tcPr>
            <w:tcW w:w="907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2794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846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5</w:t>
            </w:r>
          </w:p>
        </w:tc>
        <w:tc>
          <w:tcPr>
            <w:tcW w:w="1010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6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8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9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922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15</w:t>
            </w: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Промывка существующих скважин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 шт.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2015-2016 гг.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2</w:t>
            </w:r>
          </w:p>
        </w:tc>
        <w:tc>
          <w:tcPr>
            <w:tcW w:w="2794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Строительство комплекса водоподготовки и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УФ-обеззараживания</w:t>
            </w:r>
            <w:proofErr w:type="spellEnd"/>
            <w:proofErr w:type="gramEnd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существующих арт. скважинах</w:t>
            </w:r>
          </w:p>
          <w:p w:rsidR="00EA2E17" w:rsidRPr="00DA05D1" w:rsidRDefault="00EA2E17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шт</w:t>
            </w:r>
            <w:proofErr w:type="spellEnd"/>
            <w:proofErr w:type="gramEnd"/>
          </w:p>
          <w:p w:rsidR="00EA2E17" w:rsidRPr="00DA05D1" w:rsidRDefault="00EA2E17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2017-2018 гг.</w:t>
            </w:r>
          </w:p>
        </w:tc>
        <w:tc>
          <w:tcPr>
            <w:tcW w:w="1564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2.1</w:t>
            </w:r>
          </w:p>
        </w:tc>
        <w:tc>
          <w:tcPr>
            <w:tcW w:w="2794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- ул. Рождественского, 79, производительностью 10 м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/час</w:t>
            </w:r>
          </w:p>
        </w:tc>
        <w:tc>
          <w:tcPr>
            <w:tcW w:w="1564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C2AEC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2670</w:t>
            </w:r>
          </w:p>
          <w:p w:rsidR="00FC2AEC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</w:rPr>
              <w:t>2670</w:t>
            </w: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EA2E17" w:rsidRPr="00DA05D1" w:rsidRDefault="00EA2E17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3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Замена насосного оборудования водозаборных скважин. 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шт</w:t>
            </w:r>
            <w:proofErr w:type="spellEnd"/>
            <w:proofErr w:type="gramEnd"/>
          </w:p>
          <w:p w:rsidR="00C20BA3" w:rsidRPr="00DA05D1" w:rsidRDefault="00C20BA3" w:rsidP="00AB14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</w:t>
            </w:r>
            <w:r w:rsidR="00AB142C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1700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AB142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4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Капитальный ремонт скважин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шт</w:t>
            </w:r>
            <w:proofErr w:type="spellEnd"/>
            <w:proofErr w:type="gramEnd"/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2017-2018 гг.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DA05D1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5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Разработка ПСД по организации ЗСО источников водоснабжения. </w:t>
            </w:r>
          </w:p>
          <w:p w:rsidR="00C20BA3" w:rsidRPr="00DA05D1" w:rsidRDefault="00CA347E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2016 г</w:t>
            </w:r>
          </w:p>
        </w:tc>
        <w:tc>
          <w:tcPr>
            <w:tcW w:w="1564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900</w:t>
            </w:r>
          </w:p>
        </w:tc>
        <w:tc>
          <w:tcPr>
            <w:tcW w:w="846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1010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922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A3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ЗСО источников водоснабжения.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2017-2020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79668,44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79668,44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Разработка ПСД по строительству новых водозаборных скважин 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2015-2016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8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Строительство новых водозаборных скважин 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2016 -2018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2E4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9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Капитальный ремонт водонапорных башен W=25,0 м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proofErr w:type="spellStart"/>
            <w:proofErr w:type="gramStart"/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шт</w:t>
            </w:r>
            <w:proofErr w:type="spellEnd"/>
            <w:proofErr w:type="gramEnd"/>
          </w:p>
          <w:p w:rsidR="00C20BA3" w:rsidRPr="00DA05D1" w:rsidRDefault="00C20BA3" w:rsidP="0091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2015-20</w:t>
            </w:r>
            <w:r w:rsidR="00916DE0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916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FC2AEC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Строительство новых водопроводных сетей из полиэтиленовых труб по ГОСТ 18599-2001, средняя глубина заложения 3,0 м, Ø110мм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 м</w:t>
            </w:r>
          </w:p>
          <w:p w:rsidR="00C20BA3" w:rsidRPr="00DA05D1" w:rsidRDefault="00C20BA3" w:rsidP="0091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2016-202</w:t>
            </w:r>
            <w:r w:rsidR="00916DE0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</w:t>
            </w: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Строительство новых водопроводных сетей из полиэтиленовых труб по ГОСТ 18599-2001, средняя глубина заложения 3,0 м, Ø50мм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1000 м</w:t>
            </w:r>
          </w:p>
          <w:p w:rsidR="00C20BA3" w:rsidRPr="00DA05D1" w:rsidRDefault="00C20BA3" w:rsidP="0091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2019-202</w:t>
            </w:r>
            <w:r w:rsidR="00916DE0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4600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C20BA3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1600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05D1" w:rsidRPr="00DA05D1" w:rsidTr="002E4910">
        <w:trPr>
          <w:cantSplit/>
          <w:trHeight w:val="2390"/>
        </w:trPr>
        <w:tc>
          <w:tcPr>
            <w:tcW w:w="907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Замена трубопровода Ø57-108мм  на полиэтиленовые трубы по ГОСТ 18599-2001, средняя глубина заложения 3,0 м</w:t>
            </w:r>
          </w:p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3000 м</w:t>
            </w:r>
          </w:p>
          <w:p w:rsidR="00C20BA3" w:rsidRPr="00DA05D1" w:rsidRDefault="00C20BA3" w:rsidP="0091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2015-20</w:t>
            </w:r>
            <w:r w:rsidR="00916DE0"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гг</w:t>
            </w:r>
          </w:p>
        </w:tc>
        <w:tc>
          <w:tcPr>
            <w:tcW w:w="156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12000</w:t>
            </w:r>
          </w:p>
        </w:tc>
        <w:tc>
          <w:tcPr>
            <w:tcW w:w="846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A05D1" w:rsidRPr="00DA05D1" w:rsidTr="002E4910">
        <w:trPr>
          <w:cantSplit/>
          <w:trHeight w:val="20"/>
        </w:trPr>
        <w:tc>
          <w:tcPr>
            <w:tcW w:w="907" w:type="dxa"/>
            <w:vAlign w:val="center"/>
          </w:tcPr>
          <w:p w:rsidR="00C20BA3" w:rsidRPr="00C20BA3" w:rsidRDefault="00C20BA3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C20B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2794" w:type="dxa"/>
            <w:vAlign w:val="center"/>
          </w:tcPr>
          <w:p w:rsidR="00C20BA3" w:rsidRPr="00DA05D1" w:rsidRDefault="00C20BA3" w:rsidP="00C20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ИТОГО</w:t>
            </w:r>
          </w:p>
        </w:tc>
        <w:tc>
          <w:tcPr>
            <w:tcW w:w="1564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119538,44</w:t>
            </w:r>
          </w:p>
        </w:tc>
        <w:tc>
          <w:tcPr>
            <w:tcW w:w="846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300</w:t>
            </w:r>
          </w:p>
        </w:tc>
        <w:tc>
          <w:tcPr>
            <w:tcW w:w="1010" w:type="dxa"/>
            <w:vAlign w:val="center"/>
          </w:tcPr>
          <w:p w:rsidR="00C20BA3" w:rsidRPr="00DA05D1" w:rsidRDefault="00DA05D1" w:rsidP="007C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79</w:t>
            </w:r>
            <w:r w:rsidR="007C1B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9</w:t>
            </w: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68,44</w:t>
            </w:r>
          </w:p>
        </w:tc>
        <w:tc>
          <w:tcPr>
            <w:tcW w:w="922" w:type="dxa"/>
            <w:vAlign w:val="center"/>
          </w:tcPr>
          <w:p w:rsidR="00C20BA3" w:rsidRPr="00DA05D1" w:rsidRDefault="007C1B22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300</w:t>
            </w:r>
            <w:bookmarkStart w:id="0" w:name="_GoBack"/>
            <w:bookmarkEnd w:id="0"/>
          </w:p>
        </w:tc>
        <w:tc>
          <w:tcPr>
            <w:tcW w:w="922" w:type="dxa"/>
            <w:vAlign w:val="center"/>
          </w:tcPr>
          <w:p w:rsidR="00C20BA3" w:rsidRPr="00DA05D1" w:rsidRDefault="006C29FD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4370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-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916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14000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DA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12800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b/>
                <w:color w:val="000000" w:themeColor="text1"/>
              </w:rPr>
              <w:t>8900</w:t>
            </w:r>
          </w:p>
        </w:tc>
        <w:tc>
          <w:tcPr>
            <w:tcW w:w="922" w:type="dxa"/>
            <w:vAlign w:val="center"/>
          </w:tcPr>
          <w:p w:rsidR="00C20BA3" w:rsidRPr="00DA05D1" w:rsidRDefault="002E491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b/>
                <w:color w:val="000000" w:themeColor="text1"/>
              </w:rPr>
              <w:t>2000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  <w:tc>
          <w:tcPr>
            <w:tcW w:w="922" w:type="dxa"/>
            <w:vAlign w:val="center"/>
          </w:tcPr>
          <w:p w:rsidR="00C20BA3" w:rsidRPr="00DA05D1" w:rsidRDefault="00916DE0" w:rsidP="00C2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D1">
              <w:rPr>
                <w:rFonts w:ascii="Times New Roman" w:hAnsi="Times New Roman" w:cs="Times New Roman"/>
                <w:b/>
                <w:color w:val="000000" w:themeColor="text1"/>
              </w:rPr>
              <w:t>1000</w:t>
            </w:r>
          </w:p>
        </w:tc>
      </w:tr>
    </w:tbl>
    <w:p w:rsidR="00C20BA3" w:rsidRDefault="00C20BA3" w:rsidP="00C20BA3">
      <w:pPr>
        <w:sectPr w:rsidR="00C20BA3" w:rsidSect="007903B3">
          <w:pgSz w:w="16838" w:h="11906" w:orient="landscape"/>
          <w:pgMar w:top="1134" w:right="743" w:bottom="675" w:left="856" w:header="709" w:footer="709" w:gutter="0"/>
          <w:cols w:space="708"/>
          <w:titlePg/>
          <w:docGrid w:linePitch="360"/>
        </w:sectPr>
      </w:pPr>
    </w:p>
    <w:p w:rsidR="002F4B31" w:rsidRDefault="002F4B31" w:rsidP="002F4B3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подпункт 2.4.2.</w:t>
      </w:r>
      <w:r w:rsidRPr="002F4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основных мероприятий по реализации схем водоотведения с разбивкой по годам, включая технические обоснования этих мероприятий пункта 2.4  Предложения по строительству, реконструкции и модернизации (техническому перевооружению) объектов централизованной системы водоотведения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</w:t>
      </w:r>
      <w:r w:rsidRPr="002F4B31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DE0" w:rsidRPr="00916DE0" w:rsidRDefault="00916DE0" w:rsidP="0091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E0" w:rsidRDefault="002F4B31" w:rsidP="002F4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</w:t>
      </w:r>
      <w:r w:rsidRPr="002F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916DE0" w:rsidRPr="002F4B31" w:rsidRDefault="00916DE0" w:rsidP="0091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48"/>
        <w:gridCol w:w="6151"/>
        <w:gridCol w:w="1568"/>
        <w:gridCol w:w="1930"/>
      </w:tblGrid>
      <w:tr w:rsidR="00916DE0" w:rsidRPr="00916DE0" w:rsidTr="00B570B9">
        <w:trPr>
          <w:trHeight w:val="397"/>
          <w:tblHeader/>
          <w:jc w:val="center"/>
        </w:trPr>
        <w:tc>
          <w:tcPr>
            <w:tcW w:w="648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51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3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930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916DE0" w:rsidRPr="00916DE0" w:rsidTr="00B570B9">
        <w:trPr>
          <w:trHeight w:val="397"/>
          <w:jc w:val="center"/>
        </w:trPr>
        <w:tc>
          <w:tcPr>
            <w:tcW w:w="648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1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канализационных очистных сооружений  мощностью80 м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53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16DE0" w:rsidRPr="00916DE0" w:rsidTr="00B570B9">
        <w:trPr>
          <w:trHeight w:val="397"/>
          <w:jc w:val="center"/>
        </w:trPr>
        <w:tc>
          <w:tcPr>
            <w:tcW w:w="648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1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канализационных очистных сооружений  мощностью80м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53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916DE0" w:rsidRPr="00916DE0" w:rsidTr="00B570B9">
        <w:trPr>
          <w:trHeight w:val="397"/>
          <w:jc w:val="center"/>
        </w:trPr>
        <w:tc>
          <w:tcPr>
            <w:tcW w:w="648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1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110 труб гофрированных полипропиленовых с двухслойной стенкой «РОСТР» (ТУ 2248-001-83855058-2009 по ГОСТ </w:t>
            </w:r>
            <w:proofErr w:type="gramStart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54475-2011) </w:t>
            </w:r>
          </w:p>
        </w:tc>
        <w:tc>
          <w:tcPr>
            <w:tcW w:w="1353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30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16DE0" w:rsidRPr="00916DE0" w:rsidTr="00B570B9">
        <w:trPr>
          <w:trHeight w:val="397"/>
          <w:jc w:val="center"/>
        </w:trPr>
        <w:tc>
          <w:tcPr>
            <w:tcW w:w="648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1" w:type="dxa"/>
            <w:vAlign w:val="center"/>
          </w:tcPr>
          <w:p w:rsidR="00916DE0" w:rsidRPr="00916DE0" w:rsidRDefault="00916DE0" w:rsidP="0091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DN/OD 160 труб гофрированных полипропиленовых с двухслойной стенкой «РОСТР» (ТУ 2248-001-83855058-2009 по ГОСТ </w:t>
            </w:r>
            <w:proofErr w:type="gramStart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54475-2011) </w:t>
            </w:r>
          </w:p>
        </w:tc>
        <w:tc>
          <w:tcPr>
            <w:tcW w:w="1353" w:type="dxa"/>
            <w:vAlign w:val="center"/>
          </w:tcPr>
          <w:p w:rsidR="00916DE0" w:rsidRPr="007903B3" w:rsidRDefault="00916DE0" w:rsidP="007903B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30" w:type="dxa"/>
            <w:vAlign w:val="center"/>
          </w:tcPr>
          <w:p w:rsidR="00916DE0" w:rsidRPr="000272A1" w:rsidRDefault="00916DE0" w:rsidP="000272A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C20BA3" w:rsidRPr="002F4B31" w:rsidRDefault="00C20BA3" w:rsidP="002F4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3B3" w:rsidRDefault="007903B3" w:rsidP="007903B3">
      <w:pPr>
        <w:pStyle w:val="1"/>
        <w:keepLines w:val="0"/>
        <w:numPr>
          <w:ilvl w:val="0"/>
          <w:numId w:val="12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</w:pPr>
      <w:r w:rsidRPr="007903B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пункт</w:t>
      </w:r>
      <w:bookmarkStart w:id="1" w:name="_Toc437882140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2.6. </w:t>
      </w:r>
      <w:proofErr w:type="gramStart"/>
      <w:r w:rsidRPr="007903B3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proofErr w:type="gramEnd"/>
      <w:r w:rsidRPr="007903B3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  <w:t xml:space="preserve">, либо </w:t>
      </w:r>
      <w:proofErr w:type="gramStart"/>
      <w:r w:rsidRPr="007903B3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  <w:t>принятую</w:t>
      </w:r>
      <w:proofErr w:type="gramEnd"/>
      <w:r w:rsidRPr="007903B3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  <w:t xml:space="preserve"> по объектам - аналогам по видам капитального строительства и видам работ, с указанием источников финансирования</w:t>
      </w:r>
      <w:bookmarkEnd w:id="1"/>
      <w:r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  <w:lang w:eastAsia="ru-RU"/>
        </w:rPr>
        <w:t xml:space="preserve"> Главы 2 Водоотведение внести следующие изменения:</w:t>
      </w:r>
    </w:p>
    <w:p w:rsidR="007903B3" w:rsidRPr="007903B3" w:rsidRDefault="007903B3" w:rsidP="007903B3">
      <w:pPr>
        <w:spacing w:after="0" w:line="240" w:lineRule="auto"/>
        <w:ind w:firstLine="709"/>
        <w:jc w:val="both"/>
        <w:rPr>
          <w:lang w:eastAsia="ru-RU"/>
        </w:rPr>
      </w:pPr>
      <w:r w:rsidRPr="007903B3">
        <w:rPr>
          <w:rFonts w:ascii="Times New Roman" w:hAnsi="Times New Roman" w:cs="Times New Roman"/>
          <w:b/>
          <w:sz w:val="24"/>
          <w:lang w:eastAsia="ru-RU"/>
        </w:rPr>
        <w:t>Таблица 2.6.1</w:t>
      </w:r>
      <w:r w:rsidRPr="007903B3">
        <w:rPr>
          <w:rFonts w:ascii="Times New Roman" w:hAnsi="Times New Roman" w:cs="Times New Roman"/>
          <w:sz w:val="24"/>
          <w:lang w:eastAsia="ru-RU"/>
        </w:rPr>
        <w:t>Оценка затрат на проведение мероприятий по реконструкции объектов системы водоснабжения (тыс. руб., без НДС)</w:t>
      </w:r>
    </w:p>
    <w:p w:rsidR="007903B3" w:rsidRDefault="007903B3" w:rsidP="007903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03B3" w:rsidSect="007903B3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7903B3" w:rsidRPr="004106DA" w:rsidRDefault="007903B3" w:rsidP="007903B3">
      <w:pPr>
        <w:pStyle w:val="e"/>
      </w:pPr>
      <w:r w:rsidRPr="00123C27">
        <w:rPr>
          <w:b/>
          <w:i/>
        </w:rPr>
        <w:lastRenderedPageBreak/>
        <w:t xml:space="preserve">Таблица </w:t>
      </w:r>
      <w:r>
        <w:rPr>
          <w:b/>
          <w:i/>
        </w:rPr>
        <w:t>№</w:t>
      </w:r>
      <w:r w:rsidRPr="00123C27">
        <w:rPr>
          <w:b/>
          <w:i/>
        </w:rPr>
        <w:t>2.</w:t>
      </w:r>
      <w:r>
        <w:rPr>
          <w:b/>
          <w:i/>
        </w:rPr>
        <w:t>6</w:t>
      </w:r>
      <w:r w:rsidRPr="00123C27">
        <w:rPr>
          <w:b/>
          <w:i/>
        </w:rPr>
        <w:t>.1</w:t>
      </w:r>
      <w:r w:rsidRPr="004106DA">
        <w:t>. Оценка затрат на проведение мероприятий по реконструкции объектов системы водоснабжения (тыс. руб., без НДС)</w:t>
      </w:r>
    </w:p>
    <w:tbl>
      <w:tblPr>
        <w:tblW w:w="1538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583"/>
        <w:gridCol w:w="3117"/>
        <w:gridCol w:w="1564"/>
        <w:gridCol w:w="915"/>
        <w:gridCol w:w="929"/>
        <w:gridCol w:w="929"/>
        <w:gridCol w:w="929"/>
        <w:gridCol w:w="915"/>
        <w:gridCol w:w="926"/>
        <w:gridCol w:w="916"/>
        <w:gridCol w:w="916"/>
        <w:gridCol w:w="915"/>
        <w:gridCol w:w="915"/>
        <w:gridCol w:w="915"/>
      </w:tblGrid>
      <w:tr w:rsidR="007903B3" w:rsidRPr="004D0D82" w:rsidTr="00B570B9">
        <w:trPr>
          <w:trHeight w:val="20"/>
          <w:tblHeader/>
        </w:trPr>
        <w:tc>
          <w:tcPr>
            <w:tcW w:w="582" w:type="dxa"/>
            <w:vMerge w:val="restart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</w:t>
            </w:r>
            <w:proofErr w:type="spellEnd"/>
            <w:proofErr w:type="gramEnd"/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</w:t>
            </w:r>
            <w:proofErr w:type="spellStart"/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Стоимость, тыс. руб.</w:t>
            </w:r>
          </w:p>
        </w:tc>
        <w:tc>
          <w:tcPr>
            <w:tcW w:w="10118" w:type="dxa"/>
            <w:gridSpan w:val="11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Прогнозируемый объём финансирования по годам</w:t>
            </w:r>
          </w:p>
        </w:tc>
      </w:tr>
      <w:tr w:rsidR="007903B3" w:rsidRPr="004D0D82" w:rsidTr="00B570B9">
        <w:trPr>
          <w:trHeight w:val="20"/>
          <w:tblHeader/>
        </w:trPr>
        <w:tc>
          <w:tcPr>
            <w:tcW w:w="582" w:type="dxa"/>
            <w:vMerge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2015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2016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2017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2018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2019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2021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2022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2023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2024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2025</w:t>
            </w:r>
          </w:p>
        </w:tc>
      </w:tr>
      <w:tr w:rsidR="007903B3" w:rsidRPr="004D0D82" w:rsidTr="00B570B9">
        <w:trPr>
          <w:trHeight w:val="20"/>
          <w:tblHeader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5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6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8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9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15</w:t>
            </w:r>
          </w:p>
        </w:tc>
      </w:tr>
      <w:tr w:rsidR="007903B3" w:rsidRPr="004D0D82" w:rsidTr="00B570B9">
        <w:trPr>
          <w:cantSplit/>
          <w:trHeight w:val="20"/>
        </w:trPr>
        <w:tc>
          <w:tcPr>
            <w:tcW w:w="15384" w:type="dxa"/>
            <w:gridSpan w:val="14"/>
            <w:vAlign w:val="bottom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Чалбышево</w:t>
            </w:r>
            <w:proofErr w:type="spellEnd"/>
          </w:p>
        </w:tc>
      </w:tr>
      <w:tr w:rsidR="007903B3" w:rsidRPr="004D0D82" w:rsidTr="00B570B9">
        <w:trPr>
          <w:cantSplit/>
          <w:trHeight w:val="1686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Разработка ПСД по реконструкции канализационных очистных сооружений  мощностью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D0D82">
              <w:rPr>
                <w:rFonts w:ascii="Times New Roman" w:hAnsi="Times New Roman"/>
                <w:color w:val="000000"/>
                <w:sz w:val="24"/>
              </w:rPr>
              <w:t>0,0 м</w:t>
            </w:r>
            <w:r w:rsidRPr="004D0D82"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 w:rsidRPr="004D0D8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4D0D82">
              <w:rPr>
                <w:rFonts w:ascii="Times New Roman" w:hAnsi="Times New Roman"/>
                <w:color w:val="000000"/>
                <w:sz w:val="24"/>
              </w:rPr>
              <w:t>сут</w:t>
            </w:r>
            <w:proofErr w:type="spellEnd"/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2015-2016 гг.</w:t>
            </w:r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9000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4000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5000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</w:tr>
      <w:tr w:rsidR="007903B3" w:rsidRPr="004D0D82" w:rsidTr="00B570B9">
        <w:trPr>
          <w:cantSplit/>
          <w:trHeight w:val="1410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Строительство канализационных очистных сооружений  мощностью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D0D82">
              <w:rPr>
                <w:rFonts w:ascii="Times New Roman" w:hAnsi="Times New Roman"/>
                <w:color w:val="000000"/>
                <w:sz w:val="24"/>
              </w:rPr>
              <w:t>0,0 м</w:t>
            </w:r>
            <w:r w:rsidRPr="004D0D82"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 w:rsidRPr="004D0D8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4D0D82">
              <w:rPr>
                <w:rFonts w:ascii="Times New Roman" w:hAnsi="Times New Roman"/>
                <w:color w:val="000000"/>
                <w:sz w:val="24"/>
              </w:rPr>
              <w:t>сут</w:t>
            </w:r>
            <w:proofErr w:type="spellEnd"/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2016-2018 </w:t>
            </w:r>
            <w:proofErr w:type="spellStart"/>
            <w:proofErr w:type="gramStart"/>
            <w:r w:rsidRPr="004D0D8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160000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80000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40000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40000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</w:tr>
      <w:tr w:rsidR="007903B3" w:rsidRPr="004D0D82" w:rsidTr="00B570B9">
        <w:trPr>
          <w:cantSplit/>
          <w:trHeight w:val="2820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Строительство трубопровода DN/OD 110 труб гофрированных полипропиленовых с двухслойной стенкой «РОСТР» (ТУ 2248-001-83855058-2009 по ГОСТ </w:t>
            </w:r>
            <w:proofErr w:type="gramStart"/>
            <w:r w:rsidRPr="004D0D82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 54475-2011) </w:t>
            </w:r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2000 м</w:t>
            </w:r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2017 г</w:t>
            </w:r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20000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783015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01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20000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</w:tr>
      <w:tr w:rsidR="007903B3" w:rsidRPr="004D0D82" w:rsidTr="00B570B9">
        <w:trPr>
          <w:cantSplit/>
          <w:trHeight w:val="2820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Строительство трубопровода DN/OD 150 труб гофрированных полипропиленовых с двухслойной стенкой «РОСТР» (ТУ 2248-001-83855058-2009 по ГОСТ </w:t>
            </w:r>
            <w:proofErr w:type="gramStart"/>
            <w:r w:rsidRPr="004D0D82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 54475-2011) </w:t>
            </w:r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1500 м</w:t>
            </w:r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2017 г</w:t>
            </w:r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18000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18000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</w:tr>
      <w:tr w:rsidR="007903B3" w:rsidRPr="004D0D82" w:rsidTr="00B570B9">
        <w:trPr>
          <w:cantSplit/>
          <w:trHeight w:val="1992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5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Строительство канализационной насосной станции, производительностью 10,0 м</w:t>
            </w:r>
            <w:r w:rsidRPr="004D0D82"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 w:rsidRPr="004D0D82">
              <w:rPr>
                <w:rFonts w:ascii="Times New Roman" w:hAnsi="Times New Roman"/>
                <w:color w:val="000000"/>
                <w:sz w:val="24"/>
              </w:rPr>
              <w:t>/час</w:t>
            </w:r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proofErr w:type="gramStart"/>
            <w:r w:rsidRPr="004D0D82">
              <w:rPr>
                <w:rFonts w:ascii="Times New Roman" w:hAnsi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 xml:space="preserve">2017-2018 </w:t>
            </w:r>
            <w:proofErr w:type="spellStart"/>
            <w:proofErr w:type="gramStart"/>
            <w:r w:rsidRPr="004D0D8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color w:val="000000"/>
                <w:sz w:val="24"/>
              </w:rPr>
              <w:t>6000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3000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211BA">
              <w:rPr>
                <w:rFonts w:ascii="Times New Roman" w:hAnsi="Times New Roman" w:cs="Times New Roman"/>
                <w:color w:val="FF0000"/>
                <w:sz w:val="24"/>
              </w:rPr>
              <w:t> 3000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F211BA" w:rsidRDefault="007903B3" w:rsidP="007903B3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F211BA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</w:p>
        </w:tc>
      </w:tr>
      <w:tr w:rsidR="007903B3" w:rsidRPr="004D0D82" w:rsidTr="00B570B9">
        <w:trPr>
          <w:cantSplit/>
          <w:trHeight w:val="20"/>
        </w:trPr>
        <w:tc>
          <w:tcPr>
            <w:tcW w:w="582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6</w:t>
            </w:r>
          </w:p>
        </w:tc>
        <w:tc>
          <w:tcPr>
            <w:tcW w:w="3120" w:type="dxa"/>
            <w:vAlign w:val="bottom"/>
          </w:tcPr>
          <w:p w:rsidR="007903B3" w:rsidRPr="004D0D82" w:rsidRDefault="007903B3" w:rsidP="007903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</w:t>
            </w:r>
          </w:p>
        </w:tc>
        <w:tc>
          <w:tcPr>
            <w:tcW w:w="1564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4D0D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213000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930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16" w:type="dxa"/>
            <w:vAlign w:val="center"/>
          </w:tcPr>
          <w:p w:rsidR="007903B3" w:rsidRPr="00783015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 w:rsidRPr="00783015">
              <w:rPr>
                <w:rFonts w:ascii="Times New Roman" w:hAnsi="Times New Roman" w:cs="Times New Roman"/>
                <w:b/>
                <w:color w:val="000000"/>
              </w:rPr>
              <w:t>125000</w:t>
            </w:r>
          </w:p>
        </w:tc>
        <w:tc>
          <w:tcPr>
            <w:tcW w:w="916" w:type="dxa"/>
            <w:vAlign w:val="center"/>
          </w:tcPr>
          <w:p w:rsidR="007903B3" w:rsidRPr="00783015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83015">
              <w:rPr>
                <w:rFonts w:ascii="Times New Roman" w:hAnsi="Times New Roman" w:cs="Times New Roman"/>
                <w:b/>
                <w:color w:val="000000"/>
                <w:sz w:val="24"/>
              </w:rPr>
              <w:t>48000</w:t>
            </w:r>
          </w:p>
        </w:tc>
        <w:tc>
          <w:tcPr>
            <w:tcW w:w="916" w:type="dxa"/>
            <w:vAlign w:val="center"/>
          </w:tcPr>
          <w:p w:rsidR="007903B3" w:rsidRPr="00783015" w:rsidRDefault="007903B3" w:rsidP="007903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 w:rsidRPr="00783015">
              <w:rPr>
                <w:rFonts w:ascii="Times New Roman" w:hAnsi="Times New Roman" w:cs="Times New Roman"/>
                <w:b/>
                <w:color w:val="000000"/>
                <w:sz w:val="24"/>
              </w:rPr>
              <w:t>40000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16" w:type="dxa"/>
            <w:vAlign w:val="center"/>
          </w:tcPr>
          <w:p w:rsidR="007903B3" w:rsidRPr="004D0D82" w:rsidRDefault="007903B3" w:rsidP="007903B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4D0D82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-</w:t>
            </w:r>
          </w:p>
        </w:tc>
      </w:tr>
    </w:tbl>
    <w:p w:rsidR="007903B3" w:rsidRDefault="007903B3" w:rsidP="007903B3">
      <w:pPr>
        <w:sectPr w:rsidR="007903B3" w:rsidSect="007903B3">
          <w:pgSz w:w="16838" w:h="11906" w:orient="landscape"/>
          <w:pgMar w:top="1134" w:right="743" w:bottom="675" w:left="856" w:header="709" w:footer="709" w:gutter="0"/>
          <w:cols w:space="708"/>
          <w:titlePg/>
          <w:docGrid w:linePitch="360"/>
        </w:sectPr>
      </w:pPr>
    </w:p>
    <w:p w:rsidR="007903B3" w:rsidRDefault="007903B3" w:rsidP="007903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C20BA3" w:rsidRPr="000272A1" w:rsidRDefault="00C20BA3" w:rsidP="007903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61B" w:rsidRDefault="0046061B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6061B" w:rsidRDefault="0046061B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77E49" w:rsidRDefault="00877E49" w:rsidP="00D43E62">
      <w:pPr>
        <w:keepNext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3380A" w:rsidRDefault="00F3380A" w:rsidP="00877E49">
      <w:pPr>
        <w:keepNext/>
        <w:spacing w:before="120" w:after="120" w:line="240" w:lineRule="auto"/>
        <w:ind w:firstLine="709"/>
        <w:jc w:val="both"/>
        <w:outlineLvl w:val="0"/>
      </w:pPr>
    </w:p>
    <w:sectPr w:rsidR="00F3380A" w:rsidSect="007903B3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153"/>
    <w:multiLevelType w:val="hybridMultilevel"/>
    <w:tmpl w:val="9A96D272"/>
    <w:lvl w:ilvl="0" w:tplc="41420250">
      <w:start w:val="2"/>
      <w:numFmt w:val="decimal"/>
      <w:lvlText w:val="%1."/>
      <w:lvlJc w:val="left"/>
      <w:pPr>
        <w:ind w:left="21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5230DD"/>
    <w:multiLevelType w:val="hybridMultilevel"/>
    <w:tmpl w:val="9362AC6C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BC283C"/>
    <w:multiLevelType w:val="hybridMultilevel"/>
    <w:tmpl w:val="7C5C3DC4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6576E"/>
    <w:multiLevelType w:val="multilevel"/>
    <w:tmpl w:val="C4CC547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2A5C14"/>
    <w:multiLevelType w:val="hybridMultilevel"/>
    <w:tmpl w:val="0F14C648"/>
    <w:lvl w:ilvl="0" w:tplc="4142025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240417"/>
    <w:multiLevelType w:val="multilevel"/>
    <w:tmpl w:val="F45278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404EF"/>
    <w:multiLevelType w:val="hybridMultilevel"/>
    <w:tmpl w:val="F1525FBC"/>
    <w:lvl w:ilvl="0" w:tplc="435ECD0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93650"/>
    <w:multiLevelType w:val="hybridMultilevel"/>
    <w:tmpl w:val="8E9C794E"/>
    <w:lvl w:ilvl="0" w:tplc="3EF24D08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41947"/>
    <w:multiLevelType w:val="hybridMultilevel"/>
    <w:tmpl w:val="75165A54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1C36EF"/>
    <w:multiLevelType w:val="hybridMultilevel"/>
    <w:tmpl w:val="5832E266"/>
    <w:lvl w:ilvl="0" w:tplc="F2B256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E241863"/>
    <w:multiLevelType w:val="multilevel"/>
    <w:tmpl w:val="C366D9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abstractNum w:abstractNumId="12">
    <w:nsid w:val="708C0BB9"/>
    <w:multiLevelType w:val="hybridMultilevel"/>
    <w:tmpl w:val="0D2CB5F0"/>
    <w:lvl w:ilvl="0" w:tplc="C1BCE71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A9861DE"/>
    <w:multiLevelType w:val="multilevel"/>
    <w:tmpl w:val="A5621B0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2A"/>
    <w:rsid w:val="00004A27"/>
    <w:rsid w:val="00017A1E"/>
    <w:rsid w:val="000272A1"/>
    <w:rsid w:val="00034A8C"/>
    <w:rsid w:val="000D4609"/>
    <w:rsid w:val="000E5379"/>
    <w:rsid w:val="000F1169"/>
    <w:rsid w:val="001734D1"/>
    <w:rsid w:val="001E40BB"/>
    <w:rsid w:val="002174BD"/>
    <w:rsid w:val="0022267B"/>
    <w:rsid w:val="002A43AA"/>
    <w:rsid w:val="002A74E0"/>
    <w:rsid w:val="002E471F"/>
    <w:rsid w:val="002E4910"/>
    <w:rsid w:val="002F4B31"/>
    <w:rsid w:val="00317327"/>
    <w:rsid w:val="003D4EE7"/>
    <w:rsid w:val="004010E3"/>
    <w:rsid w:val="004068AE"/>
    <w:rsid w:val="0046061B"/>
    <w:rsid w:val="0046193D"/>
    <w:rsid w:val="004732DE"/>
    <w:rsid w:val="004B0D58"/>
    <w:rsid w:val="004D632F"/>
    <w:rsid w:val="0050162A"/>
    <w:rsid w:val="00532AA4"/>
    <w:rsid w:val="005333E4"/>
    <w:rsid w:val="005375A0"/>
    <w:rsid w:val="005D486E"/>
    <w:rsid w:val="006313C1"/>
    <w:rsid w:val="006A3151"/>
    <w:rsid w:val="006C29FD"/>
    <w:rsid w:val="006C64B1"/>
    <w:rsid w:val="006E086D"/>
    <w:rsid w:val="006F3624"/>
    <w:rsid w:val="00706E42"/>
    <w:rsid w:val="00761B13"/>
    <w:rsid w:val="00776AB1"/>
    <w:rsid w:val="00790067"/>
    <w:rsid w:val="007903B3"/>
    <w:rsid w:val="007C1B22"/>
    <w:rsid w:val="00802E97"/>
    <w:rsid w:val="00821F10"/>
    <w:rsid w:val="00832FE2"/>
    <w:rsid w:val="00877E49"/>
    <w:rsid w:val="008931E2"/>
    <w:rsid w:val="009023E6"/>
    <w:rsid w:val="00916DE0"/>
    <w:rsid w:val="00942670"/>
    <w:rsid w:val="00972071"/>
    <w:rsid w:val="00994720"/>
    <w:rsid w:val="009D6D84"/>
    <w:rsid w:val="009F51DF"/>
    <w:rsid w:val="00A27C50"/>
    <w:rsid w:val="00A30137"/>
    <w:rsid w:val="00A353FD"/>
    <w:rsid w:val="00A775B4"/>
    <w:rsid w:val="00AB142C"/>
    <w:rsid w:val="00B053BC"/>
    <w:rsid w:val="00B140C9"/>
    <w:rsid w:val="00B277E3"/>
    <w:rsid w:val="00B64F5D"/>
    <w:rsid w:val="00BB2D61"/>
    <w:rsid w:val="00BB4347"/>
    <w:rsid w:val="00BD4A85"/>
    <w:rsid w:val="00C12301"/>
    <w:rsid w:val="00C20BA3"/>
    <w:rsid w:val="00C57A77"/>
    <w:rsid w:val="00C740B9"/>
    <w:rsid w:val="00CA347E"/>
    <w:rsid w:val="00CF7FE0"/>
    <w:rsid w:val="00D07A9E"/>
    <w:rsid w:val="00D43E62"/>
    <w:rsid w:val="00D5770F"/>
    <w:rsid w:val="00DA01F4"/>
    <w:rsid w:val="00DA05D1"/>
    <w:rsid w:val="00DA6BFD"/>
    <w:rsid w:val="00DE03E0"/>
    <w:rsid w:val="00E33E7F"/>
    <w:rsid w:val="00EA2E17"/>
    <w:rsid w:val="00ED2404"/>
    <w:rsid w:val="00F3380A"/>
    <w:rsid w:val="00F4155F"/>
    <w:rsid w:val="00F50AA9"/>
    <w:rsid w:val="00F51DFC"/>
    <w:rsid w:val="00F83A7E"/>
    <w:rsid w:val="00F91FD7"/>
    <w:rsid w:val="00F94018"/>
    <w:rsid w:val="00FC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E0"/>
  </w:style>
  <w:style w:type="paragraph" w:styleId="1">
    <w:name w:val="heading 1"/>
    <w:basedOn w:val="a"/>
    <w:next w:val="a"/>
    <w:link w:val="10"/>
    <w:uiPriority w:val="9"/>
    <w:qFormat/>
    <w:rsid w:val="00790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FC"/>
    <w:rPr>
      <w:rFonts w:ascii="Tahoma" w:hAnsi="Tahoma" w:cs="Tahoma"/>
      <w:sz w:val="16"/>
      <w:szCs w:val="16"/>
    </w:rPr>
  </w:style>
  <w:style w:type="paragraph" w:customStyle="1" w:styleId="e">
    <w:name w:val="Основной тeкст"/>
    <w:link w:val="e0"/>
    <w:uiPriority w:val="99"/>
    <w:rsid w:val="00A775B4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A7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FC"/>
    <w:rPr>
      <w:rFonts w:ascii="Tahoma" w:hAnsi="Tahoma" w:cs="Tahoma"/>
      <w:sz w:val="16"/>
      <w:szCs w:val="16"/>
    </w:rPr>
  </w:style>
  <w:style w:type="paragraph" w:customStyle="1" w:styleId="e">
    <w:name w:val="Основной тeкст"/>
    <w:link w:val="e0"/>
    <w:uiPriority w:val="99"/>
    <w:rsid w:val="00A775B4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A7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2019-10-09T04:48:00Z</cp:lastPrinted>
  <dcterms:created xsi:type="dcterms:W3CDTF">2019-10-11T08:45:00Z</dcterms:created>
  <dcterms:modified xsi:type="dcterms:W3CDTF">2019-10-11T08:45:00Z</dcterms:modified>
</cp:coreProperties>
</file>